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E0439A">
        <w:rPr>
          <w:rFonts w:ascii="Arial" w:eastAsia="Arial" w:hAnsi="Arial" w:cs="Arial"/>
          <w:b/>
        </w:rPr>
        <w:t xml:space="preserve">MODELO 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E0439A">
        <w:rPr>
          <w:rFonts w:ascii="Arial" w:hAnsi="Arial" w:cs="Arial"/>
          <w:b/>
          <w:color w:val="000000"/>
        </w:rPr>
        <w:t>MODELO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8A1800">
        <w:t>EXECUTAR ATIVIDADES PERTINENTES A FUNÇÃO. PLANEJAR ATIVIDADES DE TRABALHO, ELABORAR ESTUDOS E PROJETOS, COORDENAR ATIVIDADES DE MANUTENÇÃO, DELEGAR FUNÇÕES, VERIFICAR QUALIDADE DOS SERVIÇOS EXECUTADOS.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 xml:space="preserve">ALICATE, MARTELO CHAVES DE FENDAS, CHAVE FIXA, CHAVE </w:t>
      </w:r>
      <w:proofErr w:type="gramStart"/>
      <w:r w:rsidR="001639EA">
        <w:rPr>
          <w:rFonts w:ascii="Arial" w:hAnsi="Arial" w:cs="Arial"/>
        </w:rPr>
        <w:t>ALEN</w:t>
      </w:r>
      <w:proofErr w:type="gramEnd"/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spellStart"/>
      <w:r w:rsidRPr="003D323C">
        <w:rPr>
          <w:rFonts w:ascii="Arial" w:hAnsi="Arial" w:cs="Arial"/>
          <w:b/>
          <w:color w:val="000000"/>
        </w:rPr>
        <w:t>EPI´S</w:t>
      </w:r>
      <w:proofErr w:type="spellEnd"/>
      <w:r w:rsidRPr="003D323C">
        <w:rPr>
          <w:rFonts w:ascii="Arial" w:hAnsi="Arial" w:cs="Arial"/>
          <w:b/>
          <w:color w:val="000000"/>
        </w:rPr>
        <w:t xml:space="preserve">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  <w:proofErr w:type="gramEnd"/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</w:t>
      </w:r>
      <w:proofErr w:type="spellStart"/>
      <w:proofErr w:type="gramStart"/>
      <w:r w:rsidRPr="003D323C">
        <w:rPr>
          <w:rFonts w:ascii="Arial" w:hAnsi="Arial" w:cs="Arial"/>
          <w:color w:val="000000"/>
        </w:rPr>
        <w:t>EPI`</w:t>
      </w:r>
      <w:proofErr w:type="spellEnd"/>
      <w:proofErr w:type="gramEnd"/>
      <w:r w:rsidRPr="003D323C">
        <w:rPr>
          <w:rFonts w:ascii="Arial" w:hAnsi="Arial" w:cs="Arial"/>
          <w:color w:val="000000"/>
        </w:rPr>
        <w:t>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</w:t>
      </w:r>
      <w:proofErr w:type="spellStart"/>
      <w:r w:rsidRPr="003D323C">
        <w:rPr>
          <w:rFonts w:ascii="Arial" w:hAnsi="Arial" w:cs="Arial"/>
          <w:bCs/>
          <w:sz w:val="20"/>
        </w:rPr>
        <w:t>EPI´S</w:t>
      </w:r>
      <w:proofErr w:type="spellEnd"/>
      <w:r w:rsidRPr="003D323C">
        <w:rPr>
          <w:rFonts w:ascii="Arial" w:hAnsi="Arial" w:cs="Arial"/>
          <w:bCs/>
          <w:sz w:val="20"/>
        </w:rPr>
        <w:t>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 xml:space="preserve">Inicie o seu trabalho somente se estiver utilizando </w:t>
      </w:r>
      <w:proofErr w:type="spellStart"/>
      <w:r w:rsidRPr="003D323C">
        <w:rPr>
          <w:rFonts w:ascii="Arial" w:hAnsi="Arial" w:cs="Arial"/>
          <w:sz w:val="20"/>
        </w:rPr>
        <w:t>EPI’S</w:t>
      </w:r>
      <w:proofErr w:type="spellEnd"/>
      <w:r w:rsidRPr="003D323C">
        <w:rPr>
          <w:rFonts w:ascii="Arial" w:hAnsi="Arial" w:cs="Arial"/>
          <w:sz w:val="20"/>
        </w:rPr>
        <w:t xml:space="preserve"> fornecidos pela empresa e necessários a sua atividade, de acordo com o item </w:t>
      </w:r>
      <w:proofErr w:type="spellStart"/>
      <w:r w:rsidRPr="003D323C">
        <w:rPr>
          <w:rFonts w:ascii="Arial" w:hAnsi="Arial" w:cs="Arial"/>
          <w:sz w:val="20"/>
        </w:rPr>
        <w:t>EPI´S</w:t>
      </w:r>
      <w:proofErr w:type="spellEnd"/>
      <w:r w:rsidRPr="003D323C">
        <w:rPr>
          <w:rFonts w:ascii="Arial" w:hAnsi="Arial" w:cs="Arial"/>
          <w:sz w:val="20"/>
        </w:rPr>
        <w:t xml:space="preserve">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</w:t>
      </w:r>
      <w:proofErr w:type="spellStart"/>
      <w:r w:rsidR="00AD0DBE" w:rsidRPr="00AD0DBE">
        <w:rPr>
          <w:rFonts w:ascii="Arial" w:hAnsi="Arial" w:cs="Arial"/>
          <w:b/>
          <w:sz w:val="20"/>
        </w:rPr>
        <w:t>EPI’</w:t>
      </w:r>
      <w:r w:rsidR="00AD0DBE">
        <w:rPr>
          <w:rFonts w:ascii="Arial" w:hAnsi="Arial" w:cs="Arial"/>
          <w:b/>
          <w:sz w:val="20"/>
        </w:rPr>
        <w:t>S</w:t>
      </w:r>
      <w:proofErr w:type="spellEnd"/>
      <w:r w:rsidR="00AD0DBE">
        <w:rPr>
          <w:rFonts w:ascii="Arial" w:hAnsi="Arial" w:cs="Arial"/>
          <w:b/>
          <w:sz w:val="20"/>
        </w:rPr>
        <w:t xml:space="preserve">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proofErr w:type="gramStart"/>
      <w:r>
        <w:rPr>
          <w:rFonts w:ascii="Arial" w:hAnsi="Arial" w:cs="Arial"/>
          <w:sz w:val="20"/>
        </w:rPr>
        <w:t>mal</w:t>
      </w:r>
      <w:proofErr w:type="gramEnd"/>
      <w:r>
        <w:rPr>
          <w:rFonts w:ascii="Arial" w:hAnsi="Arial" w:cs="Arial"/>
          <w:sz w:val="20"/>
        </w:rPr>
        <w:t xml:space="preserve">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entrega, devolução e troca de EPI, o funcionário deverá assinar a FICHA DE EPI junto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 obrigação </w:t>
      </w:r>
      <w:proofErr w:type="gramStart"/>
      <w:r>
        <w:rPr>
          <w:rFonts w:ascii="Arial" w:hAnsi="Arial" w:cs="Arial"/>
          <w:sz w:val="20"/>
        </w:rPr>
        <w:t>do funcionário cuidar</w:t>
      </w:r>
      <w:proofErr w:type="gramEnd"/>
      <w:r>
        <w:rPr>
          <w:rFonts w:ascii="Arial" w:hAnsi="Arial" w:cs="Arial"/>
          <w:sz w:val="20"/>
        </w:rPr>
        <w:t xml:space="preserve">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</w:t>
      </w:r>
      <w:proofErr w:type="gramStart"/>
      <w:r w:rsidR="00583FC6">
        <w:rPr>
          <w:rFonts w:ascii="Arial" w:hAnsi="Arial" w:cs="Arial"/>
        </w:rPr>
        <w:t>a</w:t>
      </w:r>
      <w:proofErr w:type="gramEnd"/>
      <w:r w:rsidR="00583FC6">
        <w:rPr>
          <w:rFonts w:ascii="Arial" w:hAnsi="Arial" w:cs="Arial"/>
        </w:rPr>
        <w:t xml:space="preserve">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E0439A">
        <w:rPr>
          <w:rFonts w:ascii="Arial" w:hAnsi="Arial" w:cs="Arial"/>
          <w:color w:val="000000"/>
        </w:rPr>
        <w:t>03</w:t>
      </w:r>
      <w:r w:rsidR="00B97665">
        <w:rPr>
          <w:rFonts w:ascii="Arial" w:hAnsi="Arial" w:cs="Arial"/>
          <w:color w:val="000000"/>
        </w:rPr>
        <w:t xml:space="preserve"> de </w:t>
      </w:r>
      <w:r w:rsidR="00E0439A">
        <w:rPr>
          <w:rFonts w:ascii="Arial" w:hAnsi="Arial" w:cs="Arial"/>
          <w:color w:val="000000"/>
        </w:rPr>
        <w:t>Maio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  <w:proofErr w:type="gramEnd"/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E0439A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MODELO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0F9" w:rsidRDefault="00F310F9" w:rsidP="00B41EC3">
      <w:r>
        <w:separator/>
      </w:r>
    </w:p>
  </w:endnote>
  <w:endnote w:type="continuationSeparator" w:id="0">
    <w:p w:rsidR="00F310F9" w:rsidRDefault="00F310F9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0F9" w:rsidRDefault="00F310F9" w:rsidP="00B41EC3">
      <w:r>
        <w:separator/>
      </w:r>
    </w:p>
  </w:footnote>
  <w:footnote w:type="continuationSeparator" w:id="0">
    <w:p w:rsidR="00F310F9" w:rsidRDefault="00F310F9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F310F9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F310F9" w:rsidRPr="00501AB8" w:rsidRDefault="00F310F9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46618917" r:id="rId2"/>
            </w:object>
          </w:r>
        </w:p>
      </w:tc>
      <w:tc>
        <w:tcPr>
          <w:tcW w:w="3260" w:type="dxa"/>
          <w:vAlign w:val="center"/>
        </w:tcPr>
        <w:p w:rsidR="00F310F9" w:rsidRDefault="00F310F9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F310F9" w:rsidRDefault="00F310F9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F310F9" w:rsidRPr="00613CE7" w:rsidRDefault="00F310F9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46618918" r:id="rId3"/>
            </w:object>
          </w:r>
        </w:p>
      </w:tc>
    </w:tr>
    <w:tr w:rsidR="00F310F9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F310F9" w:rsidRPr="00501AB8" w:rsidRDefault="00F310F9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F310F9" w:rsidRPr="00B410FA" w:rsidRDefault="00F310F9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F310F9" w:rsidRPr="00501AB8" w:rsidRDefault="00F310F9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F310F9" w:rsidRPr="00501AB8" w:rsidRDefault="00F310F9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F310F9" w:rsidRDefault="00F310F9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3427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79F6"/>
    <w:rsid w:val="003528E2"/>
    <w:rsid w:val="00363449"/>
    <w:rsid w:val="00371177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17545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F18E4"/>
    <w:rsid w:val="0080089E"/>
    <w:rsid w:val="00804A01"/>
    <w:rsid w:val="00810DEF"/>
    <w:rsid w:val="00812869"/>
    <w:rsid w:val="008133CC"/>
    <w:rsid w:val="008159AF"/>
    <w:rsid w:val="0086041A"/>
    <w:rsid w:val="00863B9E"/>
    <w:rsid w:val="008646D9"/>
    <w:rsid w:val="008758EA"/>
    <w:rsid w:val="00883FD6"/>
    <w:rsid w:val="00891A9A"/>
    <w:rsid w:val="00893046"/>
    <w:rsid w:val="008A123A"/>
    <w:rsid w:val="008A1800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8DB09-5164-428E-8774-21EC701F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2</cp:revision>
  <cp:lastPrinted>2023-05-04T16:54:00Z</cp:lastPrinted>
  <dcterms:created xsi:type="dcterms:W3CDTF">2023-05-26T18:09:00Z</dcterms:created>
  <dcterms:modified xsi:type="dcterms:W3CDTF">2023-05-26T18:09:00Z</dcterms:modified>
</cp:coreProperties>
</file>